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01" w:lineRule="atLeast"/>
        <w:ind w:firstLine="480"/>
        <w:jc w:val="center"/>
        <w:textAlignment w:val="baseline"/>
        <w:rPr>
          <w:rFonts w:hint="eastAsia" w:ascii="黑体" w:hAnsi="黑体" w:eastAsia="黑体"/>
          <w:color w:val="333333"/>
          <w:kern w:val="0"/>
          <w:sz w:val="32"/>
          <w:szCs w:val="32"/>
        </w:rPr>
      </w:pPr>
      <w:r>
        <w:pict>
          <v:shape id="文本框 2" o:spid="_x0000_s1027" o:spt="202" type="#_x0000_t202" style="position:absolute;left:0pt;margin-left:-64.95pt;margin-top:11.2pt;height:56.25pt;width:544.65pt;z-index:251658240;mso-width-relative:page;mso-height-relative:page;" filled="f" stroked="t" coordsize="21600,21600" o:gfxdata="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9OHfv2gAAAAsBAAAPAAAAAAAAAAEAIAAAACIAAABkcnMvZG93bnJldi54bWxQ&#10;SwECFAAUAAAACACHTuJAJxeJ3vUBAADKAwAADgAAAAAAAAABACAAAAApAQAAZHJzL2Uyb0RvYy54&#10;bWxQSwUGAAAAAAYABgBZAQAAkAUAAAAA&#10;">
            <v:path/>
            <v:fill on="f" focussize="0,0"/>
            <v:stroke color="#FFFFFF" joinstyle="miter"/>
            <v:imagedata o:title=""/>
            <o:lock v:ext="edit" aspectratio="f"/>
            <v:textbox>
              <w:txbxContent>
                <w:p>
                  <w:pPr>
                    <w:rPr>
                      <w:b w:val="0"/>
                      <w:bCs/>
                      <w:color w:val="FF0000"/>
                      <w:sz w:val="72"/>
                      <w:szCs w:val="72"/>
                    </w:rPr>
                  </w:pPr>
                  <w:r>
                    <w:rPr>
                      <w:rFonts w:hint="eastAsia" w:asciiTheme="minorEastAsia" w:hAnsiTheme="minorEastAsia" w:eastAsiaTheme="minorEastAsia" w:cstheme="minorEastAsia"/>
                      <w:b w:val="0"/>
                      <w:bCs/>
                      <w:color w:val="FF0000"/>
                      <w:sz w:val="72"/>
                      <w:szCs w:val="72"/>
                    </w:rPr>
                    <w:t>中国石油大学（北京）工会文件</w:t>
                  </w:r>
                </w:p>
              </w:txbxContent>
            </v:textbox>
          </v:shape>
        </w:pict>
      </w:r>
    </w:p>
    <w:p>
      <w:pPr>
        <w:widowControl/>
        <w:spacing w:line="301" w:lineRule="atLeast"/>
        <w:ind w:firstLine="480"/>
        <w:jc w:val="center"/>
        <w:textAlignment w:val="baseline"/>
        <w:rPr>
          <w:rFonts w:hint="eastAsia" w:ascii="黑体" w:hAnsi="黑体" w:eastAsia="黑体"/>
          <w:color w:val="333333"/>
          <w:kern w:val="0"/>
          <w:sz w:val="32"/>
          <w:szCs w:val="32"/>
        </w:rPr>
      </w:pPr>
    </w:p>
    <w:p>
      <w:pPr>
        <w:widowControl/>
        <w:spacing w:line="301" w:lineRule="atLeast"/>
        <w:ind w:firstLine="480"/>
        <w:jc w:val="center"/>
        <w:textAlignment w:val="baseline"/>
        <w:rPr>
          <w:rFonts w:hint="eastAsia" w:ascii="黑体" w:hAnsi="黑体" w:eastAsia="黑体"/>
          <w:color w:val="333333"/>
          <w:kern w:val="0"/>
          <w:sz w:val="32"/>
          <w:szCs w:val="32"/>
        </w:rPr>
      </w:pPr>
    </w:p>
    <w:p>
      <w:pPr>
        <w:adjustRightInd w:val="0"/>
        <w:snapToGrid w:val="0"/>
        <w:spacing w:after="624" w:afterLines="200"/>
        <w:jc w:val="center"/>
        <w:rPr>
          <w:rFonts w:hint="eastAsia" w:ascii="仿宋_GB2312" w:eastAsia="仿宋_GB2312"/>
          <w:sz w:val="32"/>
          <w:szCs w:val="32"/>
        </w:rPr>
      </w:pPr>
      <w:r>
        <w:rPr>
          <w:rFonts w:hint="eastAsia" w:ascii="仿宋_GB2312" w:eastAsia="仿宋_GB2312"/>
          <w:color w:val="FF0000"/>
          <w:sz w:val="32"/>
          <w:szCs w:val="32"/>
        </w:rPr>
        <w:pict>
          <v:shape id="自选图形 2" o:spid="_x0000_s1029" o:spt="32" type="#_x0000_t32" style="position:absolute;left:0pt;flip:y;margin-left:-17.9pt;margin-top:27.75pt;height:3.75pt;width:491.1pt;z-index:251661312;mso-width-relative:page;mso-height-relative:page;" filled="f" stroked="t" coordsize="21600,21600" o:gfxdata="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T/Opf2AAA&#10;AAkBAAAPAAAAAAAAAAEAIAAAACIAAABkcnMvZG93bnJldi54bWxQSwECFAAUAAAACACHTuJAiYwz&#10;q+UBAACjAwAADgAAAAAAAAABACAAAAAnAQAAZHJzL2Uyb0RvYy54bWxQSwUGAAAAAAYABgBZAQAA&#10;fgUAAAAA&#10;">
            <v:path arrowok="t"/>
            <v:fill on="f" focussize="0,0"/>
            <v:stroke color="#FF0000" joinstyle="round"/>
            <v:imagedata o:title=""/>
            <o:lock v:ext="edit" aspectratio="f"/>
          </v:shape>
        </w:pict>
      </w:r>
      <w:r>
        <w:rPr>
          <w:rFonts w:hint="eastAsia" w:ascii="仿宋_GB2312" w:eastAsia="仿宋_GB2312"/>
          <w:sz w:val="32"/>
          <w:szCs w:val="32"/>
        </w:rPr>
        <w:t>中石大京工〔201</w:t>
      </w:r>
      <w:r>
        <w:rPr>
          <w:rFonts w:hint="eastAsia" w:ascii="仿宋_GB2312" w:eastAsia="仿宋_GB2312"/>
          <w:sz w:val="32"/>
          <w:szCs w:val="32"/>
          <w:lang w:val="en-US" w:eastAsia="zh-CN"/>
        </w:rPr>
        <w:t>8</w:t>
      </w:r>
      <w:r>
        <w:rPr>
          <w:rFonts w:hint="eastAsia" w:ascii="仿宋_GB2312" w:eastAsia="仿宋_GB2312"/>
          <w:sz w:val="32"/>
          <w:szCs w:val="32"/>
        </w:rPr>
        <w:t>〕</w:t>
      </w:r>
      <w:r>
        <w:rPr>
          <w:rFonts w:hint="eastAsia" w:ascii="仿宋_GB2312" w:eastAsia="仿宋_GB2312"/>
          <w:sz w:val="32"/>
          <w:szCs w:val="32"/>
          <w:lang w:val="en-US" w:eastAsia="zh-CN"/>
        </w:rPr>
        <w:t>1</w:t>
      </w:r>
      <w:r>
        <w:rPr>
          <w:rFonts w:hint="eastAsia" w:ascii="仿宋_GB2312" w:eastAsia="仿宋_GB2312"/>
          <w:sz w:val="32"/>
          <w:szCs w:val="32"/>
        </w:rPr>
        <w:t>号</w:t>
      </w:r>
    </w:p>
    <w:p>
      <w:pPr>
        <w:widowControl/>
        <w:adjustRightInd w:val="0"/>
        <w:snapToGrid w:val="0"/>
        <w:jc w:val="center"/>
        <w:rPr>
          <w:rFonts w:hint="eastAsia" w:ascii="方正小标宋简体" w:eastAsia="方正小标宋简体"/>
          <w:bCs/>
          <w:kern w:val="0"/>
          <w:sz w:val="36"/>
          <w:szCs w:val="36"/>
        </w:rPr>
      </w:pPr>
      <w:r>
        <w:rPr>
          <w:rFonts w:hint="eastAsia" w:ascii="方正小标宋简体" w:eastAsia="方正小标宋简体"/>
          <w:bCs/>
          <w:kern w:val="0"/>
          <w:sz w:val="36"/>
          <w:szCs w:val="36"/>
          <w:lang w:val="en-US" w:eastAsia="zh-CN"/>
        </w:rPr>
        <w:t>中国石油大学（北京）工会</w:t>
      </w:r>
      <w:r>
        <w:rPr>
          <w:rFonts w:hint="eastAsia" w:ascii="方正小标宋简体" w:eastAsia="方正小标宋简体"/>
          <w:bCs/>
          <w:kern w:val="0"/>
          <w:sz w:val="36"/>
          <w:szCs w:val="36"/>
        </w:rPr>
        <w:t>关于</w:t>
      </w:r>
      <w:r>
        <w:rPr>
          <w:rFonts w:hint="eastAsia" w:ascii="方正小标宋简体" w:eastAsia="方正小标宋简体"/>
          <w:bCs/>
          <w:kern w:val="0"/>
          <w:sz w:val="36"/>
          <w:szCs w:val="36"/>
          <w:lang w:val="en-US" w:eastAsia="zh-CN"/>
        </w:rPr>
        <w:t>公布</w:t>
      </w:r>
      <w:r>
        <w:rPr>
          <w:rFonts w:hint="eastAsia" w:ascii="方正小标宋简体" w:eastAsia="方正小标宋简体"/>
          <w:bCs/>
          <w:kern w:val="0"/>
          <w:sz w:val="36"/>
          <w:szCs w:val="36"/>
          <w:highlight w:val="none"/>
        </w:rPr>
        <w:t>2018</w:t>
      </w:r>
      <w:r>
        <w:rPr>
          <w:rFonts w:hint="eastAsia" w:ascii="方正小标宋简体" w:eastAsia="方正小标宋简体"/>
          <w:bCs/>
          <w:kern w:val="0"/>
          <w:sz w:val="36"/>
          <w:szCs w:val="36"/>
          <w:highlight w:val="none"/>
          <w:lang w:val="en-US" w:eastAsia="zh-CN"/>
        </w:rPr>
        <w:t>工作要点</w:t>
      </w:r>
      <w:r>
        <w:rPr>
          <w:rFonts w:hint="eastAsia" w:ascii="方正小标宋简体" w:eastAsia="方正小标宋简体"/>
          <w:bCs/>
          <w:kern w:val="0"/>
          <w:sz w:val="36"/>
          <w:szCs w:val="36"/>
        </w:rPr>
        <w:t>的通知</w:t>
      </w:r>
    </w:p>
    <w:p>
      <w:pPr>
        <w:widowControl/>
        <w:spacing w:line="301" w:lineRule="atLeast"/>
        <w:jc w:val="left"/>
        <w:textAlignment w:val="baseline"/>
        <w:rPr>
          <w:rFonts w:hint="eastAsia" w:ascii="宋体" w:hAnsi="宋体"/>
          <w:color w:val="333333"/>
          <w:kern w:val="0"/>
          <w:sz w:val="28"/>
          <w:szCs w:val="28"/>
        </w:rPr>
      </w:pPr>
    </w:p>
    <w:p>
      <w:pPr>
        <w:widowControl/>
        <w:spacing w:line="301" w:lineRule="atLeast"/>
        <w:jc w:val="left"/>
        <w:textAlignment w:val="baseline"/>
        <w:rPr>
          <w:rFonts w:hint="eastAsia" w:ascii="宋体" w:hAnsi="宋体"/>
          <w:color w:val="333333"/>
          <w:kern w:val="0"/>
          <w:sz w:val="28"/>
          <w:szCs w:val="28"/>
        </w:rPr>
      </w:pPr>
      <w:r>
        <w:rPr>
          <w:rFonts w:hint="eastAsia" w:ascii="宋体" w:hAnsi="宋体"/>
          <w:color w:val="333333"/>
          <w:kern w:val="0"/>
          <w:sz w:val="28"/>
          <w:szCs w:val="28"/>
          <w:lang w:val="en-US" w:eastAsia="zh-CN"/>
        </w:rPr>
        <w:t xml:space="preserve"> 各部门工会</w:t>
      </w:r>
      <w:r>
        <w:rPr>
          <w:rFonts w:hint="eastAsia" w:ascii="宋体" w:hAnsi="宋体"/>
          <w:color w:val="333333"/>
          <w:kern w:val="0"/>
          <w:sz w:val="28"/>
          <w:szCs w:val="28"/>
        </w:rPr>
        <w:t>：</w:t>
      </w:r>
    </w:p>
    <w:p>
      <w:pPr>
        <w:widowControl/>
        <w:spacing w:line="301" w:lineRule="atLeast"/>
        <w:ind w:firstLine="480"/>
        <w:jc w:val="left"/>
        <w:textAlignment w:val="baseline"/>
        <w:rPr>
          <w:rFonts w:hint="eastAsia" w:ascii="宋体" w:hAnsi="宋体"/>
          <w:color w:val="333333"/>
          <w:kern w:val="0"/>
          <w:sz w:val="28"/>
          <w:szCs w:val="28"/>
          <w:lang w:val="en-US" w:eastAsia="zh-CN"/>
        </w:rPr>
      </w:pPr>
      <w:r>
        <w:rPr>
          <w:rFonts w:hint="eastAsia" w:ascii="宋体" w:hAnsi="宋体"/>
          <w:color w:val="333333"/>
          <w:kern w:val="0"/>
          <w:sz w:val="28"/>
          <w:szCs w:val="28"/>
          <w:lang w:val="en-US" w:eastAsia="zh-CN"/>
        </w:rPr>
        <w:t>现将2018年工会工作要点公布如下，请遵照执行。</w:t>
      </w:r>
      <w:bookmarkStart w:id="0" w:name="_GoBack"/>
      <w:bookmarkEnd w:id="0"/>
    </w:p>
    <w:p>
      <w:pPr>
        <w:widowControl/>
        <w:spacing w:line="301" w:lineRule="atLeast"/>
        <w:ind w:firstLine="480"/>
        <w:jc w:val="left"/>
        <w:textAlignment w:val="baseline"/>
        <w:rPr>
          <w:rFonts w:hint="eastAsia" w:ascii="宋体" w:hAnsi="宋体"/>
          <w:color w:val="333333"/>
          <w:kern w:val="0"/>
          <w:sz w:val="28"/>
          <w:szCs w:val="28"/>
          <w:lang w:val="en-US" w:eastAsia="zh-CN"/>
        </w:rPr>
      </w:pPr>
      <w:r>
        <w:rPr>
          <w:rFonts w:hint="eastAsia" w:ascii="宋体" w:hAnsi="宋体"/>
          <w:color w:val="333333"/>
          <w:kern w:val="0"/>
          <w:sz w:val="28"/>
          <w:szCs w:val="28"/>
          <w:lang w:val="en-US" w:eastAsia="zh-CN"/>
        </w:rPr>
        <w:t>校工会2018年的工作要求是：以习近平新时代中国特色社会主义思想为指导，深入学习贯彻党的十九大精神、全国高校思想政治工作会议精神和中央党的群团工作会议精神，坚定不移地走中国特色社会主义工会发展道路，坚决贯彻全总和市总的改革部署，全面落实学校第十一次党代会精神，创新服务机制、延伸服务触角、强化自身建设，不断增强工会的服务能力和维权能力，围绕学校中心工作，发挥广大教职工主人翁作用，为学校改革和双一流建设做出积极贡献。</w:t>
      </w:r>
    </w:p>
    <w:p>
      <w:pPr>
        <w:widowControl/>
        <w:spacing w:line="301" w:lineRule="atLeast"/>
        <w:ind w:firstLine="480"/>
        <w:jc w:val="left"/>
        <w:textAlignment w:val="baseline"/>
        <w:rPr>
          <w:rFonts w:hint="eastAsia" w:ascii="宋体" w:hAnsi="宋体"/>
          <w:color w:val="333333"/>
          <w:kern w:val="0"/>
          <w:sz w:val="28"/>
          <w:szCs w:val="28"/>
          <w:lang w:val="en-US" w:eastAsia="zh-CN"/>
        </w:rPr>
      </w:pPr>
      <w:r>
        <w:rPr>
          <w:rFonts w:hint="eastAsia" w:ascii="宋体" w:hAnsi="宋体"/>
          <w:color w:val="333333"/>
          <w:kern w:val="0"/>
          <w:sz w:val="28"/>
          <w:szCs w:val="28"/>
          <w:lang w:val="en-US" w:eastAsia="zh-CN"/>
        </w:rPr>
        <w:t>一、加强宣传和动员，积极发挥党的桥梁和纽带作用</w:t>
      </w:r>
    </w:p>
    <w:p>
      <w:pPr>
        <w:widowControl/>
        <w:spacing w:line="301" w:lineRule="atLeast"/>
        <w:ind w:firstLine="480"/>
        <w:jc w:val="left"/>
        <w:textAlignment w:val="baseline"/>
        <w:rPr>
          <w:rFonts w:hint="eastAsia" w:ascii="宋体" w:hAnsi="宋体"/>
          <w:color w:val="333333"/>
          <w:kern w:val="0"/>
          <w:sz w:val="28"/>
          <w:szCs w:val="28"/>
          <w:lang w:val="en-US" w:eastAsia="zh-CN"/>
        </w:rPr>
      </w:pPr>
      <w:r>
        <w:rPr>
          <w:rFonts w:hint="eastAsia" w:ascii="宋体" w:hAnsi="宋体"/>
          <w:color w:val="333333"/>
          <w:kern w:val="0"/>
          <w:sz w:val="28"/>
          <w:szCs w:val="28"/>
          <w:lang w:val="en-US" w:eastAsia="zh-CN"/>
        </w:rPr>
        <w:t>1.不断提升教职工思想政治素质。按照学校党委部署,积极组织工会干部深入学习贯彻党的十九大精神和全国高校思想政治工作会议精神, 教育引导广大教职工不断增强“四个自信”，强化四个意识，在思想上政治上行动上和党中央保持高度一致，在学校全员全过程全方位育人工作中发挥积极作用。</w:t>
      </w:r>
    </w:p>
    <w:p>
      <w:pPr>
        <w:widowControl/>
        <w:spacing w:line="301" w:lineRule="atLeast"/>
        <w:ind w:firstLine="480"/>
        <w:jc w:val="left"/>
        <w:textAlignment w:val="baseline"/>
        <w:rPr>
          <w:rFonts w:hint="eastAsia" w:ascii="宋体" w:hAnsi="宋体"/>
          <w:color w:val="333333"/>
          <w:kern w:val="0"/>
          <w:sz w:val="28"/>
          <w:szCs w:val="28"/>
          <w:lang w:val="en-US" w:eastAsia="zh-CN"/>
        </w:rPr>
      </w:pPr>
      <w:r>
        <w:rPr>
          <w:rFonts w:hint="eastAsia" w:ascii="宋体" w:hAnsi="宋体"/>
          <w:color w:val="333333"/>
          <w:kern w:val="0"/>
          <w:sz w:val="28"/>
          <w:szCs w:val="28"/>
          <w:lang w:val="en-US" w:eastAsia="zh-CN"/>
        </w:rPr>
        <w:t xml:space="preserve">2.加强师德师风建设, 积极落实学校《关于建立健全师德建设长效机制的实施意见》。利用各种渠道，加强对先进模范典型人物和集体的宣传，营造尊重劳动，争当劳模的浓厚氛围。组织开展2017-2018年学校师德标兵评选工作；举办教师节系列庆祝活动，如青年教师恳谈会和新进教师座谈会，营造尊师重教的氛围；持续开展社会主义核心价值观教育，开展暑期青年教师社会实践活动；举办学校泓达杯暨第十一届青年教师教学基本功比赛。 </w:t>
      </w:r>
    </w:p>
    <w:p>
      <w:pPr>
        <w:widowControl/>
        <w:spacing w:line="301" w:lineRule="atLeast"/>
        <w:ind w:firstLine="480"/>
        <w:jc w:val="left"/>
        <w:textAlignment w:val="baseline"/>
        <w:rPr>
          <w:rFonts w:hint="eastAsia" w:ascii="宋体" w:hAnsi="宋体"/>
          <w:color w:val="333333"/>
          <w:kern w:val="0"/>
          <w:sz w:val="28"/>
          <w:szCs w:val="28"/>
          <w:lang w:val="en-US" w:eastAsia="zh-CN"/>
        </w:rPr>
      </w:pPr>
      <w:r>
        <w:rPr>
          <w:rFonts w:hint="eastAsia" w:ascii="宋体" w:hAnsi="宋体"/>
          <w:color w:val="333333"/>
          <w:kern w:val="0"/>
          <w:sz w:val="28"/>
          <w:szCs w:val="28"/>
          <w:lang w:val="en-US" w:eastAsia="zh-CN"/>
        </w:rPr>
        <w:t>二、多措并举，积极发挥工会的维护职能</w:t>
      </w:r>
    </w:p>
    <w:p>
      <w:pPr>
        <w:widowControl/>
        <w:spacing w:line="301" w:lineRule="atLeast"/>
        <w:ind w:firstLine="480"/>
        <w:jc w:val="left"/>
        <w:textAlignment w:val="baseline"/>
        <w:rPr>
          <w:rFonts w:hint="eastAsia" w:ascii="宋体" w:hAnsi="宋体"/>
          <w:color w:val="333333"/>
          <w:kern w:val="0"/>
          <w:sz w:val="28"/>
          <w:szCs w:val="28"/>
          <w:lang w:val="en-US" w:eastAsia="zh-CN"/>
        </w:rPr>
      </w:pPr>
      <w:r>
        <w:rPr>
          <w:rFonts w:hint="eastAsia" w:ascii="宋体" w:hAnsi="宋体"/>
          <w:color w:val="333333"/>
          <w:kern w:val="0"/>
          <w:sz w:val="28"/>
          <w:szCs w:val="28"/>
          <w:lang w:val="en-US" w:eastAsia="zh-CN"/>
        </w:rPr>
        <w:t>3. 加强组织领导，做好双代会换届工作。按照北京市总工会、教育工会的批示精神和校党委的部署，精心准备，周密安排，认真做好双代会换届大会的各项筹备工作，确保换届大会顺利召开。开展代表培训工作，增强代表履职能力。</w:t>
      </w:r>
    </w:p>
    <w:p>
      <w:pPr>
        <w:widowControl/>
        <w:spacing w:line="301" w:lineRule="atLeast"/>
        <w:ind w:firstLine="480"/>
        <w:jc w:val="left"/>
        <w:textAlignment w:val="baseline"/>
        <w:rPr>
          <w:rFonts w:hint="eastAsia" w:ascii="宋体" w:hAnsi="宋体"/>
          <w:color w:val="333333"/>
          <w:kern w:val="0"/>
          <w:sz w:val="28"/>
          <w:szCs w:val="28"/>
          <w:lang w:val="en-US" w:eastAsia="zh-CN"/>
        </w:rPr>
      </w:pPr>
      <w:r>
        <w:rPr>
          <w:rFonts w:hint="eastAsia" w:ascii="宋体" w:hAnsi="宋体"/>
          <w:color w:val="333333"/>
          <w:kern w:val="0"/>
          <w:sz w:val="28"/>
          <w:szCs w:val="28"/>
          <w:lang w:val="en-US" w:eastAsia="zh-CN"/>
        </w:rPr>
        <w:t>4. 加强学校劳动人事争议调解委员会的建设，积极协调和化解劳动人事争议问题，引导和支持教职工理性表达诉求、依法维护权益。</w:t>
      </w:r>
    </w:p>
    <w:p>
      <w:pPr>
        <w:widowControl/>
        <w:spacing w:line="301" w:lineRule="atLeast"/>
        <w:ind w:firstLine="480"/>
        <w:jc w:val="left"/>
        <w:textAlignment w:val="baseline"/>
        <w:rPr>
          <w:rFonts w:hint="eastAsia" w:ascii="宋体" w:hAnsi="宋体"/>
          <w:color w:val="333333"/>
          <w:kern w:val="0"/>
          <w:sz w:val="28"/>
          <w:szCs w:val="28"/>
          <w:lang w:val="en-US" w:eastAsia="zh-CN"/>
        </w:rPr>
      </w:pPr>
      <w:r>
        <w:rPr>
          <w:rFonts w:hint="eastAsia" w:ascii="宋体" w:hAnsi="宋体"/>
          <w:color w:val="333333"/>
          <w:kern w:val="0"/>
          <w:sz w:val="28"/>
          <w:szCs w:val="28"/>
          <w:lang w:val="en-US" w:eastAsia="zh-CN"/>
        </w:rPr>
        <w:t>三、瞄准需求，构建工会精准服务体系</w:t>
      </w:r>
    </w:p>
    <w:p>
      <w:pPr>
        <w:widowControl/>
        <w:spacing w:line="301" w:lineRule="atLeast"/>
        <w:ind w:firstLine="480"/>
        <w:jc w:val="left"/>
        <w:textAlignment w:val="baseline"/>
        <w:rPr>
          <w:rFonts w:hint="eastAsia" w:ascii="宋体" w:hAnsi="宋体"/>
          <w:color w:val="333333"/>
          <w:kern w:val="0"/>
          <w:sz w:val="28"/>
          <w:szCs w:val="28"/>
          <w:lang w:val="en-US" w:eastAsia="zh-CN"/>
        </w:rPr>
      </w:pPr>
      <w:r>
        <w:rPr>
          <w:rFonts w:hint="eastAsia" w:ascii="宋体" w:hAnsi="宋体"/>
          <w:color w:val="333333"/>
          <w:kern w:val="0"/>
          <w:sz w:val="28"/>
          <w:szCs w:val="28"/>
          <w:lang w:val="en-US" w:eastAsia="zh-CN"/>
        </w:rPr>
        <w:t>5.进一步做好教职工慰问工作。健全职工档案，建立学校三级慰问体系，提升教职工的凝聚力和幸福感。加强职工互助保障计划的宣传工作，扩大保障覆盖面。做好教职工年度健康体检工作。</w:t>
      </w:r>
    </w:p>
    <w:p>
      <w:pPr>
        <w:widowControl/>
        <w:spacing w:line="301" w:lineRule="atLeast"/>
        <w:ind w:firstLine="480"/>
        <w:jc w:val="left"/>
        <w:textAlignment w:val="baseline"/>
        <w:rPr>
          <w:rFonts w:hint="eastAsia" w:ascii="宋体" w:hAnsi="宋体"/>
          <w:color w:val="333333"/>
          <w:kern w:val="0"/>
          <w:sz w:val="28"/>
          <w:szCs w:val="28"/>
          <w:lang w:val="en-US" w:eastAsia="zh-CN"/>
        </w:rPr>
      </w:pPr>
      <w:r>
        <w:rPr>
          <w:rFonts w:hint="eastAsia" w:ascii="宋体" w:hAnsi="宋体"/>
          <w:color w:val="333333"/>
          <w:kern w:val="0"/>
          <w:sz w:val="28"/>
          <w:szCs w:val="28"/>
          <w:lang w:val="en-US" w:eastAsia="zh-CN"/>
        </w:rPr>
        <w:t>6.积极开展青年教职工关爱工程。针对青年教职工的特殊困难，积极想办法为他们解决后顾之忧。继续做好教职工子女入托、入学的协调工作；举办青年教师联谊活动，为他们建立交友平台，拓宽交友渠道。</w:t>
      </w:r>
    </w:p>
    <w:p>
      <w:pPr>
        <w:widowControl/>
        <w:spacing w:line="301" w:lineRule="atLeast"/>
        <w:ind w:firstLine="480"/>
        <w:jc w:val="left"/>
        <w:textAlignment w:val="baseline"/>
        <w:rPr>
          <w:rFonts w:hint="eastAsia" w:ascii="宋体" w:hAnsi="宋体"/>
          <w:color w:val="333333"/>
          <w:kern w:val="0"/>
          <w:sz w:val="28"/>
          <w:szCs w:val="28"/>
          <w:lang w:val="en-US" w:eastAsia="zh-CN"/>
        </w:rPr>
      </w:pPr>
      <w:r>
        <w:rPr>
          <w:rFonts w:hint="eastAsia" w:ascii="宋体" w:hAnsi="宋体"/>
          <w:color w:val="333333"/>
          <w:kern w:val="0"/>
          <w:sz w:val="28"/>
          <w:szCs w:val="28"/>
          <w:lang w:val="en-US" w:eastAsia="zh-CN"/>
        </w:rPr>
        <w:t>7.认真落实上级对工会工作的要求，依托市总“三级服务体系”，发挥12351手机APP优势，积极开展特色鲜明、内容丰富、精准细致的教职工服务工作，提高教职工对工会工作的满意度。</w:t>
      </w:r>
    </w:p>
    <w:p>
      <w:pPr>
        <w:widowControl/>
        <w:spacing w:line="301" w:lineRule="atLeast"/>
        <w:ind w:firstLine="480"/>
        <w:jc w:val="left"/>
        <w:textAlignment w:val="baseline"/>
        <w:rPr>
          <w:rFonts w:hint="eastAsia" w:ascii="宋体" w:hAnsi="宋体"/>
          <w:color w:val="333333"/>
          <w:kern w:val="0"/>
          <w:sz w:val="28"/>
          <w:szCs w:val="28"/>
          <w:lang w:val="en-US" w:eastAsia="zh-CN"/>
        </w:rPr>
      </w:pPr>
      <w:r>
        <w:rPr>
          <w:rFonts w:hint="eastAsia" w:ascii="宋体" w:hAnsi="宋体"/>
          <w:color w:val="333333"/>
          <w:kern w:val="0"/>
          <w:sz w:val="28"/>
          <w:szCs w:val="28"/>
          <w:lang w:val="en-US" w:eastAsia="zh-CN"/>
        </w:rPr>
        <w:t>8.开展文体活动，丰富校园文化生活。以庆祝65周年校庆为主线继续开展春季长走、秋季教职工趣味运动会、校园121健步走活动，举办“五一劳动节”文艺演出、教职工歌唱比赛。继续加大对各文体协会的支持力度，发挥各协会的引领作用，促进群众性文体活动的开展。</w:t>
      </w:r>
    </w:p>
    <w:p>
      <w:pPr>
        <w:widowControl/>
        <w:spacing w:line="301" w:lineRule="atLeast"/>
        <w:ind w:firstLine="480"/>
        <w:jc w:val="left"/>
        <w:textAlignment w:val="baseline"/>
        <w:rPr>
          <w:rFonts w:hint="eastAsia" w:ascii="宋体" w:hAnsi="宋体"/>
          <w:color w:val="333333"/>
          <w:kern w:val="0"/>
          <w:sz w:val="28"/>
          <w:szCs w:val="28"/>
          <w:lang w:val="en-US" w:eastAsia="zh-CN"/>
        </w:rPr>
      </w:pPr>
      <w:r>
        <w:rPr>
          <w:rFonts w:hint="eastAsia" w:ascii="宋体" w:hAnsi="宋体"/>
          <w:color w:val="333333"/>
          <w:kern w:val="0"/>
          <w:sz w:val="28"/>
          <w:szCs w:val="28"/>
          <w:lang w:val="en-US" w:eastAsia="zh-CN"/>
        </w:rPr>
        <w:t>四、加强基础建设，推动自身建设再上新台阶</w:t>
      </w:r>
    </w:p>
    <w:p>
      <w:pPr>
        <w:widowControl/>
        <w:spacing w:line="301" w:lineRule="atLeast"/>
        <w:ind w:firstLine="480"/>
        <w:jc w:val="left"/>
        <w:textAlignment w:val="baseline"/>
        <w:rPr>
          <w:rFonts w:hint="eastAsia" w:ascii="宋体" w:hAnsi="宋体"/>
          <w:color w:val="333333"/>
          <w:kern w:val="0"/>
          <w:sz w:val="28"/>
          <w:szCs w:val="28"/>
          <w:lang w:val="en-US" w:eastAsia="zh-CN"/>
        </w:rPr>
      </w:pPr>
      <w:r>
        <w:rPr>
          <w:rFonts w:hint="eastAsia" w:ascii="宋体" w:hAnsi="宋体"/>
          <w:color w:val="333333"/>
          <w:kern w:val="0"/>
          <w:sz w:val="28"/>
          <w:szCs w:val="28"/>
          <w:lang w:val="en-US" w:eastAsia="zh-CN"/>
        </w:rPr>
        <w:t>9. 修订职工之家（职工小家）建设和验收标准，深入开展职工之家（职工小家）建设活动，不断提升职工之家（职工小家）的服务能力和水平。校院两级工会积极落实“开门七件事”，按照“五亮”标准，探索服务教职工的新方法，提升职工之家（职工小家）的规范化建设水平。在坚持教职工之家实体化建设的同时，利用新媒体探索网上职工之家（职工小家）建设途径，满足教职工不同层次的需求。加强工会规范化建设，完善各类基础资料和档案管理。</w:t>
      </w:r>
    </w:p>
    <w:p>
      <w:pPr>
        <w:widowControl/>
        <w:spacing w:line="301" w:lineRule="atLeast"/>
        <w:ind w:firstLine="480"/>
        <w:jc w:val="left"/>
        <w:textAlignment w:val="baseline"/>
        <w:rPr>
          <w:rFonts w:hint="eastAsia" w:ascii="宋体" w:hAnsi="宋体"/>
          <w:color w:val="333333"/>
          <w:kern w:val="0"/>
          <w:sz w:val="28"/>
          <w:szCs w:val="28"/>
          <w:lang w:val="en-US" w:eastAsia="zh-CN"/>
        </w:rPr>
      </w:pPr>
      <w:r>
        <w:rPr>
          <w:rFonts w:hint="eastAsia" w:ascii="宋体" w:hAnsi="宋体"/>
          <w:color w:val="333333"/>
          <w:kern w:val="0"/>
          <w:sz w:val="28"/>
          <w:szCs w:val="28"/>
          <w:lang w:val="en-US" w:eastAsia="zh-CN"/>
        </w:rPr>
        <w:t>10.加强工会干部队伍建设，不断提升履职能力和水平。加大对工会干部的政治理论和业务素质培训力度，努力搭建工会干部交流沟通的平台，牢固树立全心全意为教职工服务的宗旨意识，密切联系教职工，增进与教职工感情，做好“第一知情人”和“第一报告人”，真正成为职工的娘家人。按照一岗双责的要求，做好廉洁办会、透明办会。</w:t>
      </w:r>
    </w:p>
    <w:p>
      <w:pPr>
        <w:widowControl/>
        <w:spacing w:line="301" w:lineRule="atLeast"/>
        <w:ind w:firstLine="480"/>
        <w:jc w:val="left"/>
        <w:textAlignment w:val="baseline"/>
        <w:rPr>
          <w:rFonts w:hint="eastAsia" w:ascii="宋体" w:hAnsi="宋体"/>
          <w:color w:val="333333"/>
          <w:kern w:val="0"/>
          <w:sz w:val="28"/>
          <w:szCs w:val="28"/>
          <w:lang w:val="en-US" w:eastAsia="zh-CN"/>
        </w:rPr>
      </w:pPr>
      <w:r>
        <w:rPr>
          <w:rFonts w:hint="eastAsia" w:ascii="宋体" w:hAnsi="宋体"/>
          <w:color w:val="333333"/>
          <w:kern w:val="0"/>
          <w:sz w:val="28"/>
          <w:szCs w:val="28"/>
          <w:lang w:val="en-US" w:eastAsia="zh-CN"/>
        </w:rPr>
        <w:t>六、其它工作</w:t>
      </w:r>
    </w:p>
    <w:p>
      <w:pPr>
        <w:widowControl/>
        <w:spacing w:line="301" w:lineRule="atLeast"/>
        <w:ind w:firstLine="480"/>
        <w:jc w:val="left"/>
        <w:textAlignment w:val="baseline"/>
        <w:rPr>
          <w:rFonts w:hint="eastAsia" w:ascii="宋体" w:hAnsi="宋体"/>
          <w:color w:val="333333"/>
          <w:kern w:val="0"/>
          <w:sz w:val="28"/>
          <w:szCs w:val="28"/>
          <w:lang w:val="en-US" w:eastAsia="zh-CN"/>
        </w:rPr>
      </w:pPr>
      <w:r>
        <w:rPr>
          <w:rFonts w:hint="eastAsia" w:ascii="宋体" w:hAnsi="宋体"/>
          <w:color w:val="333333"/>
          <w:kern w:val="0"/>
          <w:sz w:val="28"/>
          <w:szCs w:val="28"/>
          <w:lang w:val="en-US" w:eastAsia="zh-CN"/>
        </w:rPr>
        <w:t>11.按照共建、共享、共赢的理念，加强支持附中附小发展项目建设工作。调动各职能部门和院部的积极性，加强和附中附小的沟通协调，使共建工作取得更大实效。</w:t>
      </w:r>
    </w:p>
    <w:p>
      <w:pPr>
        <w:widowControl/>
        <w:spacing w:line="301" w:lineRule="atLeast"/>
        <w:ind w:firstLine="480"/>
        <w:jc w:val="left"/>
        <w:textAlignment w:val="baseline"/>
        <w:rPr>
          <w:rFonts w:hint="eastAsia" w:ascii="宋体" w:hAnsi="宋体"/>
          <w:color w:val="333333"/>
          <w:kern w:val="0"/>
          <w:sz w:val="28"/>
          <w:szCs w:val="28"/>
          <w:lang w:val="en-US" w:eastAsia="zh-CN"/>
        </w:rPr>
      </w:pPr>
      <w:r>
        <w:rPr>
          <w:rFonts w:hint="eastAsia" w:ascii="宋体" w:hAnsi="宋体"/>
          <w:color w:val="333333"/>
          <w:kern w:val="0"/>
          <w:sz w:val="28"/>
          <w:szCs w:val="28"/>
          <w:lang w:val="en-US" w:eastAsia="zh-CN"/>
        </w:rPr>
        <w:t>12.根据地方政府要求，做好计划生育相关工作。</w:t>
      </w:r>
    </w:p>
    <w:p>
      <w:pPr>
        <w:widowControl/>
        <w:adjustRightInd w:val="0"/>
        <w:snapToGrid w:val="0"/>
        <w:spacing w:line="560" w:lineRule="exact"/>
        <w:ind w:left="1918" w:leftChars="304" w:hanging="1280" w:hangingChars="400"/>
        <w:rPr>
          <w:rFonts w:hint="eastAsia" w:ascii="仿宋_GB2312" w:hAnsi="宋体" w:eastAsia="仿宋_GB2312"/>
          <w:kern w:val="0"/>
          <w:sz w:val="32"/>
          <w:szCs w:val="32"/>
          <w:lang w:val="en-US" w:eastAsia="zh-CN"/>
        </w:rPr>
      </w:pPr>
      <w:r>
        <w:rPr>
          <w:rFonts w:hint="eastAsia" w:ascii="仿宋_GB2312" w:hAnsi="宋体" w:eastAsia="仿宋_GB2312"/>
          <w:kern w:val="0"/>
          <w:sz w:val="32"/>
          <w:szCs w:val="32"/>
          <w:lang w:val="en-US" w:eastAsia="zh-CN"/>
        </w:rPr>
        <w:t>附件1: 中国石油大学（北京）2018年工会拟办实事、开展活动列表</w:t>
      </w:r>
    </w:p>
    <w:p>
      <w:pPr>
        <w:widowControl/>
        <w:tabs>
          <w:tab w:val="left" w:pos="5786"/>
        </w:tabs>
        <w:spacing w:line="301" w:lineRule="atLeast"/>
        <w:ind w:firstLine="480"/>
        <w:jc w:val="left"/>
        <w:textAlignment w:val="baseline"/>
        <w:rPr>
          <w:sz w:val="28"/>
          <w:szCs w:val="28"/>
        </w:rPr>
      </w:pPr>
      <w:r>
        <w:rPr>
          <w:rFonts w:hint="eastAsia" w:ascii="宋体" w:hAnsi="宋体"/>
          <w:color w:val="333333"/>
          <w:kern w:val="0"/>
          <w:sz w:val="28"/>
          <w:szCs w:val="28"/>
        </w:rPr>
        <w:t xml:space="preserve">        </w:t>
      </w:r>
      <w:r>
        <w:rPr>
          <w:rFonts w:hint="eastAsia" w:ascii="宋体" w:hAnsi="宋体"/>
          <w:color w:val="333333"/>
          <w:kern w:val="0"/>
          <w:sz w:val="28"/>
          <w:szCs w:val="28"/>
          <w:lang w:eastAsia="zh-CN"/>
        </w:rPr>
        <w:tab/>
      </w:r>
    </w:p>
    <w:p>
      <w:pPr>
        <w:widowControl/>
        <w:spacing w:line="301" w:lineRule="atLeast"/>
        <w:ind w:firstLine="480"/>
        <w:jc w:val="right"/>
        <w:textAlignment w:val="baseline"/>
        <w:rPr>
          <w:rFonts w:hint="eastAsia" w:ascii="宋体" w:hAnsi="宋体"/>
          <w:color w:val="333333"/>
          <w:kern w:val="0"/>
          <w:sz w:val="28"/>
          <w:szCs w:val="28"/>
        </w:rPr>
      </w:pPr>
      <w:r>
        <w:rPr>
          <w:rFonts w:hint="eastAsia" w:ascii="宋体" w:hAnsi="宋体"/>
          <w:color w:val="333333"/>
          <w:kern w:val="0"/>
          <w:sz w:val="28"/>
          <w:szCs w:val="28"/>
        </w:rPr>
        <w:t xml:space="preserve">                                 201</w:t>
      </w:r>
      <w:r>
        <w:rPr>
          <w:rFonts w:hint="eastAsia" w:ascii="宋体" w:hAnsi="宋体"/>
          <w:color w:val="333333"/>
          <w:kern w:val="0"/>
          <w:sz w:val="28"/>
          <w:szCs w:val="28"/>
          <w:lang w:val="en-US" w:eastAsia="zh-CN"/>
        </w:rPr>
        <w:t>8</w:t>
      </w:r>
      <w:r>
        <w:rPr>
          <w:rFonts w:hint="eastAsia" w:ascii="宋体" w:hAnsi="宋体"/>
          <w:color w:val="333333"/>
          <w:kern w:val="0"/>
          <w:sz w:val="28"/>
          <w:szCs w:val="28"/>
        </w:rPr>
        <w:t>年</w:t>
      </w:r>
      <w:r>
        <w:rPr>
          <w:rFonts w:hint="eastAsia" w:ascii="宋体" w:hAnsi="宋体"/>
          <w:color w:val="333333"/>
          <w:kern w:val="0"/>
          <w:sz w:val="28"/>
          <w:szCs w:val="28"/>
          <w:lang w:val="en-US" w:eastAsia="zh-CN"/>
        </w:rPr>
        <w:t>3</w:t>
      </w:r>
      <w:r>
        <w:rPr>
          <w:rFonts w:hint="eastAsia" w:ascii="宋体" w:hAnsi="宋体"/>
          <w:color w:val="333333"/>
          <w:kern w:val="0"/>
          <w:sz w:val="28"/>
          <w:szCs w:val="28"/>
        </w:rPr>
        <w:t>月</w:t>
      </w:r>
      <w:r>
        <w:rPr>
          <w:rFonts w:hint="eastAsia" w:ascii="宋体" w:hAnsi="宋体"/>
          <w:color w:val="333333"/>
          <w:kern w:val="0"/>
          <w:sz w:val="28"/>
          <w:szCs w:val="28"/>
          <w:lang w:val="en-US" w:eastAsia="zh-CN"/>
        </w:rPr>
        <w:t>30</w:t>
      </w:r>
      <w:r>
        <w:rPr>
          <w:rFonts w:hint="eastAsia" w:ascii="宋体" w:hAnsi="宋体"/>
          <w:color w:val="333333"/>
          <w:kern w:val="0"/>
          <w:sz w:val="28"/>
          <w:szCs w:val="28"/>
        </w:rPr>
        <w:t>日</w:t>
      </w:r>
    </w:p>
    <w:p>
      <w:pPr>
        <w:pStyle w:val="2"/>
        <w:jc w:val="center"/>
        <w:rPr>
          <w:rFonts w:hint="eastAsia" w:ascii="黑体" w:hAnsi="黑体" w:eastAsia="黑体" w:cs="黑体"/>
          <w:sz w:val="28"/>
          <w:szCs w:val="28"/>
        </w:rPr>
      </w:pPr>
      <w:r>
        <w:rPr>
          <w:rFonts w:hint="eastAsia" w:ascii="黑体" w:hAnsi="黑体" w:eastAsia="黑体" w:cs="黑体"/>
          <w:sz w:val="28"/>
          <w:szCs w:val="28"/>
          <w:lang w:eastAsia="zh-CN"/>
        </w:rPr>
        <w:t>附件</w:t>
      </w:r>
      <w:r>
        <w:rPr>
          <w:rFonts w:hint="eastAsia" w:ascii="黑体" w:hAnsi="黑体" w:cs="黑体"/>
          <w:sz w:val="28"/>
          <w:szCs w:val="28"/>
          <w:lang w:val="en-US" w:eastAsia="zh-CN"/>
        </w:rPr>
        <w:t>1</w:t>
      </w:r>
      <w:r>
        <w:rPr>
          <w:rFonts w:hint="eastAsia" w:ascii="黑体" w:hAnsi="黑体" w:eastAsia="黑体" w:cs="黑体"/>
          <w:sz w:val="28"/>
          <w:szCs w:val="28"/>
          <w:lang w:eastAsia="zh-CN"/>
        </w:rPr>
        <w:t>：</w:t>
      </w:r>
      <w:r>
        <w:rPr>
          <w:rFonts w:hint="eastAsia" w:ascii="黑体" w:hAnsi="黑体" w:eastAsia="黑体" w:cs="黑体"/>
          <w:sz w:val="28"/>
          <w:szCs w:val="28"/>
        </w:rPr>
        <w:t>中国石油大学（北京）2018</w:t>
      </w:r>
      <w:r>
        <w:rPr>
          <w:rFonts w:hint="eastAsia" w:ascii="黑体" w:hAnsi="黑体" w:cs="黑体"/>
          <w:sz w:val="28"/>
          <w:szCs w:val="28"/>
          <w:lang w:val="en-US" w:eastAsia="zh-CN"/>
        </w:rPr>
        <w:t>年</w:t>
      </w:r>
      <w:r>
        <w:rPr>
          <w:rFonts w:hint="eastAsia" w:ascii="黑体" w:hAnsi="黑体" w:eastAsia="黑体" w:cs="黑体"/>
          <w:sz w:val="28"/>
          <w:szCs w:val="28"/>
        </w:rPr>
        <w:t>工会拟办实事</w:t>
      </w:r>
      <w:r>
        <w:rPr>
          <w:rFonts w:hint="eastAsia" w:ascii="黑体" w:hAnsi="黑体" w:cs="黑体"/>
          <w:sz w:val="28"/>
          <w:szCs w:val="28"/>
          <w:lang w:eastAsia="zh-CN"/>
        </w:rPr>
        <w:t>、</w:t>
      </w:r>
      <w:r>
        <w:rPr>
          <w:rFonts w:hint="eastAsia" w:ascii="黑体" w:hAnsi="黑体" w:eastAsia="黑体" w:cs="黑体"/>
          <w:sz w:val="28"/>
          <w:szCs w:val="28"/>
        </w:rPr>
        <w:t>开展活动列表</w:t>
      </w:r>
    </w:p>
    <w:tbl>
      <w:tblPr>
        <w:tblStyle w:val="5"/>
        <w:tblW w:w="973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15" w:type="dxa"/>
          <w:left w:w="15" w:type="dxa"/>
          <w:bottom w:w="15" w:type="dxa"/>
          <w:right w:w="15" w:type="dxa"/>
        </w:tblCellMar>
      </w:tblPr>
      <w:tblGrid>
        <w:gridCol w:w="975"/>
        <w:gridCol w:w="1080"/>
        <w:gridCol w:w="4785"/>
        <w:gridCol w:w="1934"/>
        <w:gridCol w:w="9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15" w:type="dxa"/>
            <w:left w:w="15" w:type="dxa"/>
            <w:bottom w:w="15" w:type="dxa"/>
            <w:right w:w="15" w:type="dxa"/>
          </w:tblCellMar>
        </w:tblPrEx>
        <w:trPr>
          <w:trHeight w:val="601" w:hRule="atLeast"/>
        </w:trPr>
        <w:tc>
          <w:tcPr>
            <w:tcW w:w="97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项目</w:t>
            </w: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序号</w:t>
            </w:r>
          </w:p>
        </w:tc>
        <w:tc>
          <w:tcPr>
            <w:tcW w:w="478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名称</w:t>
            </w:r>
          </w:p>
        </w:tc>
        <w:tc>
          <w:tcPr>
            <w:tcW w:w="19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时间</w:t>
            </w:r>
          </w:p>
        </w:tc>
        <w:tc>
          <w:tcPr>
            <w:tcW w:w="96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601" w:hRule="atLeast"/>
        </w:trPr>
        <w:tc>
          <w:tcPr>
            <w:tcW w:w="975" w:type="dxa"/>
            <w:vMerge w:val="restar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办实事</w:t>
            </w: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478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慰问生病教职工</w:t>
            </w:r>
          </w:p>
        </w:tc>
        <w:tc>
          <w:tcPr>
            <w:tcW w:w="19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全年</w:t>
            </w:r>
          </w:p>
        </w:tc>
        <w:tc>
          <w:tcPr>
            <w:tcW w:w="960" w:type="dxa"/>
            <w:tcBorders>
              <w:tl2br w:val="nil"/>
              <w:tr2bl w:val="nil"/>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601" w:hRule="atLeast"/>
        </w:trPr>
        <w:tc>
          <w:tcPr>
            <w:tcW w:w="975" w:type="dxa"/>
            <w:vMerge w:val="continue"/>
            <w:tcBorders>
              <w:tl2br w:val="nil"/>
              <w:tr2bl w:val="nil"/>
            </w:tcBorders>
            <w:shd w:val="clear" w:color="auto" w:fill="auto"/>
            <w:vAlign w:val="center"/>
          </w:tcPr>
          <w:p>
            <w:pPr>
              <w:jc w:val="center"/>
              <w:rPr>
                <w:rFonts w:hint="eastAsia" w:ascii="宋体" w:hAnsi="宋体" w:eastAsia="宋体" w:cs="宋体"/>
                <w:b/>
                <w:i w:val="0"/>
                <w:color w:val="000000"/>
                <w:sz w:val="22"/>
                <w:szCs w:val="22"/>
                <w:u w:val="none"/>
              </w:rPr>
            </w:pP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478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办理女工特疾互助保障计划</w:t>
            </w:r>
          </w:p>
        </w:tc>
        <w:tc>
          <w:tcPr>
            <w:tcW w:w="19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3月上旬</w:t>
            </w:r>
          </w:p>
        </w:tc>
        <w:tc>
          <w:tcPr>
            <w:tcW w:w="960" w:type="dxa"/>
            <w:tcBorders>
              <w:tl2br w:val="nil"/>
              <w:tr2bl w:val="nil"/>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601" w:hRule="atLeast"/>
        </w:trPr>
        <w:tc>
          <w:tcPr>
            <w:tcW w:w="975" w:type="dxa"/>
            <w:vMerge w:val="continue"/>
            <w:tcBorders>
              <w:tl2br w:val="nil"/>
              <w:tr2bl w:val="nil"/>
            </w:tcBorders>
            <w:shd w:val="clear" w:color="auto" w:fill="auto"/>
            <w:vAlign w:val="center"/>
          </w:tcPr>
          <w:p>
            <w:pPr>
              <w:jc w:val="center"/>
              <w:rPr>
                <w:rFonts w:hint="eastAsia" w:ascii="宋体" w:hAnsi="宋体" w:eastAsia="宋体" w:cs="宋体"/>
                <w:b/>
                <w:i w:val="0"/>
                <w:color w:val="000000"/>
                <w:sz w:val="22"/>
                <w:szCs w:val="22"/>
                <w:u w:val="none"/>
              </w:rPr>
            </w:pP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478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办理教职工重大疾病互助保障计划</w:t>
            </w:r>
          </w:p>
        </w:tc>
        <w:tc>
          <w:tcPr>
            <w:tcW w:w="19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3月上旬</w:t>
            </w:r>
          </w:p>
        </w:tc>
        <w:tc>
          <w:tcPr>
            <w:tcW w:w="960" w:type="dxa"/>
            <w:tcBorders>
              <w:tl2br w:val="nil"/>
              <w:tr2bl w:val="nil"/>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601" w:hRule="atLeast"/>
        </w:trPr>
        <w:tc>
          <w:tcPr>
            <w:tcW w:w="975" w:type="dxa"/>
            <w:vMerge w:val="continue"/>
            <w:tcBorders>
              <w:tl2br w:val="nil"/>
              <w:tr2bl w:val="nil"/>
            </w:tcBorders>
            <w:shd w:val="clear" w:color="auto" w:fill="auto"/>
            <w:vAlign w:val="center"/>
          </w:tcPr>
          <w:p>
            <w:pPr>
              <w:jc w:val="center"/>
              <w:rPr>
                <w:rFonts w:hint="eastAsia" w:ascii="宋体" w:hAnsi="宋体" w:eastAsia="宋体" w:cs="宋体"/>
                <w:b/>
                <w:i w:val="0"/>
                <w:color w:val="000000"/>
                <w:sz w:val="22"/>
                <w:szCs w:val="22"/>
                <w:u w:val="none"/>
              </w:rPr>
            </w:pP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478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组织报名，协调解决教职工子女入学</w:t>
            </w:r>
          </w:p>
        </w:tc>
        <w:tc>
          <w:tcPr>
            <w:tcW w:w="19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4月</w:t>
            </w:r>
          </w:p>
        </w:tc>
        <w:tc>
          <w:tcPr>
            <w:tcW w:w="960" w:type="dxa"/>
            <w:tcBorders>
              <w:tl2br w:val="nil"/>
              <w:tr2bl w:val="nil"/>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601" w:hRule="atLeast"/>
        </w:trPr>
        <w:tc>
          <w:tcPr>
            <w:tcW w:w="975" w:type="dxa"/>
            <w:vMerge w:val="continue"/>
            <w:tcBorders>
              <w:tl2br w:val="nil"/>
              <w:tr2bl w:val="nil"/>
            </w:tcBorders>
            <w:shd w:val="clear" w:color="auto" w:fill="auto"/>
            <w:vAlign w:val="center"/>
          </w:tcPr>
          <w:p>
            <w:pPr>
              <w:jc w:val="center"/>
              <w:rPr>
                <w:rFonts w:hint="eastAsia" w:ascii="宋体" w:hAnsi="宋体" w:eastAsia="宋体" w:cs="宋体"/>
                <w:b/>
                <w:i w:val="0"/>
                <w:color w:val="000000"/>
                <w:sz w:val="22"/>
                <w:szCs w:val="22"/>
                <w:u w:val="none"/>
              </w:rPr>
            </w:pP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478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组织报名，尽力协调解决适龄教职工子女入托</w:t>
            </w:r>
          </w:p>
        </w:tc>
        <w:tc>
          <w:tcPr>
            <w:tcW w:w="19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4月</w:t>
            </w:r>
          </w:p>
        </w:tc>
        <w:tc>
          <w:tcPr>
            <w:tcW w:w="960" w:type="dxa"/>
            <w:tcBorders>
              <w:tl2br w:val="nil"/>
              <w:tr2bl w:val="nil"/>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601" w:hRule="atLeast"/>
        </w:trPr>
        <w:tc>
          <w:tcPr>
            <w:tcW w:w="975" w:type="dxa"/>
            <w:vMerge w:val="continue"/>
            <w:tcBorders>
              <w:tl2br w:val="nil"/>
              <w:tr2bl w:val="nil"/>
            </w:tcBorders>
            <w:shd w:val="clear" w:color="auto" w:fill="auto"/>
            <w:vAlign w:val="center"/>
          </w:tcPr>
          <w:p>
            <w:pPr>
              <w:jc w:val="center"/>
              <w:rPr>
                <w:rFonts w:hint="eastAsia" w:ascii="宋体" w:hAnsi="宋体" w:eastAsia="宋体" w:cs="宋体"/>
                <w:b/>
                <w:i w:val="0"/>
                <w:color w:val="000000"/>
                <w:sz w:val="22"/>
                <w:szCs w:val="22"/>
                <w:u w:val="none"/>
              </w:rPr>
            </w:pP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478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教职工体检</w:t>
            </w:r>
          </w:p>
        </w:tc>
        <w:tc>
          <w:tcPr>
            <w:tcW w:w="19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7-9月</w:t>
            </w:r>
          </w:p>
        </w:tc>
        <w:tc>
          <w:tcPr>
            <w:tcW w:w="960" w:type="dxa"/>
            <w:tcBorders>
              <w:tl2br w:val="nil"/>
              <w:tr2bl w:val="nil"/>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601" w:hRule="atLeast"/>
        </w:trPr>
        <w:tc>
          <w:tcPr>
            <w:tcW w:w="975" w:type="dxa"/>
            <w:vMerge w:val="continue"/>
            <w:tcBorders>
              <w:tl2br w:val="nil"/>
              <w:tr2bl w:val="nil"/>
            </w:tcBorders>
            <w:shd w:val="clear" w:color="auto" w:fill="auto"/>
            <w:vAlign w:val="center"/>
          </w:tcPr>
          <w:p>
            <w:pPr>
              <w:jc w:val="center"/>
              <w:rPr>
                <w:rFonts w:hint="eastAsia" w:ascii="宋体" w:hAnsi="宋体" w:eastAsia="宋体" w:cs="宋体"/>
                <w:b/>
                <w:i w:val="0"/>
                <w:color w:val="000000"/>
                <w:sz w:val="22"/>
                <w:szCs w:val="22"/>
                <w:u w:val="none"/>
              </w:rPr>
            </w:pP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478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举办新入职教职工联谊及素质拓展活动</w:t>
            </w:r>
          </w:p>
        </w:tc>
        <w:tc>
          <w:tcPr>
            <w:tcW w:w="19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9月</w:t>
            </w:r>
          </w:p>
        </w:tc>
        <w:tc>
          <w:tcPr>
            <w:tcW w:w="960" w:type="dxa"/>
            <w:tcBorders>
              <w:tl2br w:val="nil"/>
              <w:tr2bl w:val="nil"/>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601" w:hRule="atLeast"/>
        </w:trPr>
        <w:tc>
          <w:tcPr>
            <w:tcW w:w="975" w:type="dxa"/>
            <w:vMerge w:val="continue"/>
            <w:tcBorders>
              <w:tl2br w:val="nil"/>
              <w:tr2bl w:val="nil"/>
            </w:tcBorders>
            <w:shd w:val="clear" w:color="auto" w:fill="auto"/>
            <w:vAlign w:val="center"/>
          </w:tcPr>
          <w:p>
            <w:pPr>
              <w:jc w:val="center"/>
              <w:rPr>
                <w:rFonts w:hint="eastAsia" w:ascii="宋体" w:hAnsi="宋体" w:eastAsia="宋体" w:cs="宋体"/>
                <w:b/>
                <w:i w:val="0"/>
                <w:color w:val="000000"/>
                <w:sz w:val="22"/>
                <w:szCs w:val="22"/>
                <w:u w:val="none"/>
              </w:rPr>
            </w:pP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478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教职工生日蛋糕劵采购发放</w:t>
            </w:r>
          </w:p>
        </w:tc>
        <w:tc>
          <w:tcPr>
            <w:tcW w:w="19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12月下旬</w:t>
            </w:r>
          </w:p>
        </w:tc>
        <w:tc>
          <w:tcPr>
            <w:tcW w:w="960" w:type="dxa"/>
            <w:tcBorders>
              <w:tl2br w:val="nil"/>
              <w:tr2bl w:val="nil"/>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601" w:hRule="atLeast"/>
        </w:trPr>
        <w:tc>
          <w:tcPr>
            <w:tcW w:w="975" w:type="dxa"/>
            <w:vMerge w:val="continue"/>
            <w:tcBorders>
              <w:tl2br w:val="nil"/>
              <w:tr2bl w:val="nil"/>
            </w:tcBorders>
            <w:shd w:val="clear" w:color="auto" w:fill="auto"/>
            <w:vAlign w:val="center"/>
          </w:tcPr>
          <w:p>
            <w:pPr>
              <w:jc w:val="center"/>
              <w:rPr>
                <w:rFonts w:hint="eastAsia" w:ascii="宋体" w:hAnsi="宋体" w:eastAsia="宋体" w:cs="宋体"/>
                <w:b/>
                <w:i w:val="0"/>
                <w:color w:val="000000"/>
                <w:sz w:val="22"/>
                <w:szCs w:val="22"/>
                <w:u w:val="none"/>
              </w:rPr>
            </w:pP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478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举办单身教职工联谊活动</w:t>
            </w:r>
          </w:p>
        </w:tc>
        <w:tc>
          <w:tcPr>
            <w:tcW w:w="19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时间待定</w:t>
            </w:r>
          </w:p>
        </w:tc>
        <w:tc>
          <w:tcPr>
            <w:tcW w:w="960" w:type="dxa"/>
            <w:tcBorders>
              <w:tl2br w:val="nil"/>
              <w:tr2bl w:val="nil"/>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601" w:hRule="atLeast"/>
        </w:trPr>
        <w:tc>
          <w:tcPr>
            <w:tcW w:w="975" w:type="dxa"/>
            <w:vMerge w:val="restar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开展活动</w:t>
            </w: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478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举办三八妇女节系列活动及女教授协会活动</w:t>
            </w:r>
          </w:p>
        </w:tc>
        <w:tc>
          <w:tcPr>
            <w:tcW w:w="19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3月中旬</w:t>
            </w:r>
          </w:p>
        </w:tc>
        <w:tc>
          <w:tcPr>
            <w:tcW w:w="960" w:type="dxa"/>
            <w:tcBorders>
              <w:tl2br w:val="nil"/>
              <w:tr2bl w:val="nil"/>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601" w:hRule="atLeast"/>
        </w:trPr>
        <w:tc>
          <w:tcPr>
            <w:tcW w:w="975" w:type="dxa"/>
            <w:vMerge w:val="continue"/>
            <w:tcBorders>
              <w:tl2br w:val="nil"/>
              <w:tr2bl w:val="nil"/>
            </w:tcBorders>
            <w:shd w:val="clear" w:color="auto" w:fill="auto"/>
            <w:vAlign w:val="center"/>
          </w:tcPr>
          <w:p>
            <w:pPr>
              <w:jc w:val="center"/>
              <w:rPr>
                <w:rFonts w:hint="eastAsia" w:ascii="宋体" w:hAnsi="宋体" w:eastAsia="宋体" w:cs="宋体"/>
                <w:b/>
                <w:i w:val="0"/>
                <w:color w:val="000000"/>
                <w:sz w:val="22"/>
                <w:szCs w:val="22"/>
                <w:u w:val="none"/>
              </w:rPr>
            </w:pP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478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举办春季教职工长走活动</w:t>
            </w:r>
          </w:p>
        </w:tc>
        <w:tc>
          <w:tcPr>
            <w:tcW w:w="19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4月中旬</w:t>
            </w:r>
          </w:p>
        </w:tc>
        <w:tc>
          <w:tcPr>
            <w:tcW w:w="960" w:type="dxa"/>
            <w:tcBorders>
              <w:tl2br w:val="nil"/>
              <w:tr2bl w:val="nil"/>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601" w:hRule="atLeast"/>
        </w:trPr>
        <w:tc>
          <w:tcPr>
            <w:tcW w:w="975" w:type="dxa"/>
            <w:vMerge w:val="continue"/>
            <w:tcBorders>
              <w:tl2br w:val="nil"/>
              <w:tr2bl w:val="nil"/>
            </w:tcBorders>
            <w:shd w:val="clear" w:color="auto" w:fill="auto"/>
            <w:vAlign w:val="center"/>
          </w:tcPr>
          <w:p>
            <w:pPr>
              <w:jc w:val="center"/>
              <w:rPr>
                <w:rFonts w:hint="eastAsia" w:ascii="宋体" w:hAnsi="宋体" w:eastAsia="宋体" w:cs="宋体"/>
                <w:b/>
                <w:i w:val="0"/>
                <w:color w:val="000000"/>
                <w:sz w:val="22"/>
                <w:szCs w:val="22"/>
                <w:u w:val="none"/>
              </w:rPr>
            </w:pP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478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筹备召开双代会</w:t>
            </w:r>
          </w:p>
        </w:tc>
        <w:tc>
          <w:tcPr>
            <w:tcW w:w="19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4月中旬</w:t>
            </w:r>
          </w:p>
        </w:tc>
        <w:tc>
          <w:tcPr>
            <w:tcW w:w="960" w:type="dxa"/>
            <w:tcBorders>
              <w:tl2br w:val="nil"/>
              <w:tr2bl w:val="nil"/>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601" w:hRule="atLeast"/>
        </w:trPr>
        <w:tc>
          <w:tcPr>
            <w:tcW w:w="975" w:type="dxa"/>
            <w:vMerge w:val="continue"/>
            <w:tcBorders>
              <w:tl2br w:val="nil"/>
              <w:tr2bl w:val="nil"/>
            </w:tcBorders>
            <w:shd w:val="clear" w:color="auto" w:fill="auto"/>
            <w:vAlign w:val="center"/>
          </w:tcPr>
          <w:p>
            <w:pPr>
              <w:jc w:val="center"/>
              <w:rPr>
                <w:rFonts w:hint="eastAsia" w:ascii="宋体" w:hAnsi="宋体" w:eastAsia="宋体" w:cs="宋体"/>
                <w:b/>
                <w:i w:val="0"/>
                <w:color w:val="000000"/>
                <w:sz w:val="22"/>
                <w:szCs w:val="22"/>
                <w:u w:val="none"/>
              </w:rPr>
            </w:pP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478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附校共建项目立项及验收</w:t>
            </w:r>
          </w:p>
        </w:tc>
        <w:tc>
          <w:tcPr>
            <w:tcW w:w="19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4月</w:t>
            </w:r>
          </w:p>
        </w:tc>
        <w:tc>
          <w:tcPr>
            <w:tcW w:w="960" w:type="dxa"/>
            <w:tcBorders>
              <w:tl2br w:val="nil"/>
              <w:tr2bl w:val="nil"/>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601" w:hRule="atLeast"/>
        </w:trPr>
        <w:tc>
          <w:tcPr>
            <w:tcW w:w="975" w:type="dxa"/>
            <w:vMerge w:val="continue"/>
            <w:tcBorders>
              <w:tl2br w:val="nil"/>
              <w:tr2bl w:val="nil"/>
            </w:tcBorders>
            <w:shd w:val="clear" w:color="auto" w:fill="auto"/>
            <w:vAlign w:val="center"/>
          </w:tcPr>
          <w:p>
            <w:pPr>
              <w:jc w:val="center"/>
              <w:rPr>
                <w:rFonts w:hint="eastAsia" w:ascii="宋体" w:hAnsi="宋体" w:eastAsia="宋体" w:cs="宋体"/>
                <w:b/>
                <w:i w:val="0"/>
                <w:color w:val="000000"/>
                <w:sz w:val="22"/>
                <w:szCs w:val="22"/>
                <w:u w:val="none"/>
              </w:rPr>
            </w:pP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478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工会干部培训</w:t>
            </w:r>
          </w:p>
        </w:tc>
        <w:tc>
          <w:tcPr>
            <w:tcW w:w="19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4月</w:t>
            </w:r>
          </w:p>
        </w:tc>
        <w:tc>
          <w:tcPr>
            <w:tcW w:w="960" w:type="dxa"/>
            <w:tcBorders>
              <w:tl2br w:val="nil"/>
              <w:tr2bl w:val="nil"/>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601" w:hRule="atLeast"/>
        </w:trPr>
        <w:tc>
          <w:tcPr>
            <w:tcW w:w="975" w:type="dxa"/>
            <w:vMerge w:val="continue"/>
            <w:tcBorders>
              <w:tl2br w:val="nil"/>
              <w:tr2bl w:val="nil"/>
            </w:tcBorders>
            <w:shd w:val="clear" w:color="auto" w:fill="auto"/>
            <w:vAlign w:val="center"/>
          </w:tcPr>
          <w:p>
            <w:pPr>
              <w:jc w:val="center"/>
              <w:rPr>
                <w:rFonts w:hint="eastAsia" w:ascii="宋体" w:hAnsi="宋体" w:eastAsia="宋体" w:cs="宋体"/>
                <w:b/>
                <w:i w:val="0"/>
                <w:color w:val="000000"/>
                <w:sz w:val="22"/>
                <w:szCs w:val="22"/>
                <w:u w:val="none"/>
              </w:rPr>
            </w:pP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478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劳动者之歌教职工演出</w:t>
            </w:r>
          </w:p>
        </w:tc>
        <w:tc>
          <w:tcPr>
            <w:tcW w:w="19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5月</w:t>
            </w:r>
          </w:p>
        </w:tc>
        <w:tc>
          <w:tcPr>
            <w:tcW w:w="960" w:type="dxa"/>
            <w:tcBorders>
              <w:tl2br w:val="nil"/>
              <w:tr2bl w:val="nil"/>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601" w:hRule="atLeast"/>
        </w:trPr>
        <w:tc>
          <w:tcPr>
            <w:tcW w:w="975" w:type="dxa"/>
            <w:vMerge w:val="continue"/>
            <w:tcBorders>
              <w:tl2br w:val="nil"/>
              <w:tr2bl w:val="nil"/>
            </w:tcBorders>
            <w:shd w:val="clear" w:color="auto" w:fill="auto"/>
            <w:vAlign w:val="center"/>
          </w:tcPr>
          <w:p>
            <w:pPr>
              <w:jc w:val="center"/>
              <w:rPr>
                <w:rFonts w:hint="eastAsia" w:ascii="宋体" w:hAnsi="宋体" w:eastAsia="宋体" w:cs="宋体"/>
                <w:b/>
                <w:i w:val="0"/>
                <w:color w:val="000000"/>
                <w:sz w:val="22"/>
                <w:szCs w:val="22"/>
                <w:u w:val="none"/>
              </w:rPr>
            </w:pP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478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先进职工小家申报</w:t>
            </w:r>
          </w:p>
        </w:tc>
        <w:tc>
          <w:tcPr>
            <w:tcW w:w="19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5月</w:t>
            </w:r>
          </w:p>
        </w:tc>
        <w:tc>
          <w:tcPr>
            <w:tcW w:w="960" w:type="dxa"/>
            <w:tcBorders>
              <w:tl2br w:val="nil"/>
              <w:tr2bl w:val="nil"/>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601" w:hRule="atLeast"/>
        </w:trPr>
        <w:tc>
          <w:tcPr>
            <w:tcW w:w="975" w:type="dxa"/>
            <w:vMerge w:val="continue"/>
            <w:tcBorders>
              <w:tl2br w:val="nil"/>
              <w:tr2bl w:val="nil"/>
            </w:tcBorders>
            <w:shd w:val="clear" w:color="auto" w:fill="auto"/>
            <w:vAlign w:val="center"/>
          </w:tcPr>
          <w:p>
            <w:pPr>
              <w:jc w:val="center"/>
              <w:rPr>
                <w:rFonts w:hint="eastAsia" w:ascii="宋体" w:hAnsi="宋体" w:eastAsia="宋体" w:cs="宋体"/>
                <w:b/>
                <w:i w:val="0"/>
                <w:color w:val="000000"/>
                <w:sz w:val="22"/>
                <w:szCs w:val="22"/>
                <w:u w:val="none"/>
              </w:rPr>
            </w:pP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478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高雅艺术进校园活动之一</w:t>
            </w:r>
          </w:p>
        </w:tc>
        <w:tc>
          <w:tcPr>
            <w:tcW w:w="19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5月</w:t>
            </w:r>
          </w:p>
        </w:tc>
        <w:tc>
          <w:tcPr>
            <w:tcW w:w="960" w:type="dxa"/>
            <w:tcBorders>
              <w:tl2br w:val="nil"/>
              <w:tr2bl w:val="nil"/>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601" w:hRule="atLeast"/>
        </w:trPr>
        <w:tc>
          <w:tcPr>
            <w:tcW w:w="975" w:type="dxa"/>
            <w:vMerge w:val="continue"/>
            <w:tcBorders>
              <w:tl2br w:val="nil"/>
              <w:tr2bl w:val="nil"/>
            </w:tcBorders>
            <w:shd w:val="clear" w:color="auto" w:fill="auto"/>
            <w:vAlign w:val="center"/>
          </w:tcPr>
          <w:p>
            <w:pPr>
              <w:jc w:val="center"/>
              <w:rPr>
                <w:rFonts w:hint="eastAsia" w:ascii="宋体" w:hAnsi="宋体" w:eastAsia="宋体" w:cs="宋体"/>
                <w:b/>
                <w:i w:val="0"/>
                <w:color w:val="000000"/>
                <w:sz w:val="22"/>
                <w:szCs w:val="22"/>
                <w:u w:val="none"/>
              </w:rPr>
            </w:pP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478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举办教职工乒乓球比赛</w:t>
            </w:r>
          </w:p>
        </w:tc>
        <w:tc>
          <w:tcPr>
            <w:tcW w:w="19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5月</w:t>
            </w:r>
          </w:p>
        </w:tc>
        <w:tc>
          <w:tcPr>
            <w:tcW w:w="960" w:type="dxa"/>
            <w:tcBorders>
              <w:tl2br w:val="nil"/>
              <w:tr2bl w:val="nil"/>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601" w:hRule="atLeast"/>
        </w:trPr>
        <w:tc>
          <w:tcPr>
            <w:tcW w:w="975" w:type="dxa"/>
            <w:vMerge w:val="continue"/>
            <w:tcBorders>
              <w:tl2br w:val="nil"/>
              <w:tr2bl w:val="nil"/>
            </w:tcBorders>
            <w:shd w:val="clear" w:color="auto" w:fill="auto"/>
            <w:vAlign w:val="center"/>
          </w:tcPr>
          <w:p>
            <w:pPr>
              <w:jc w:val="center"/>
              <w:rPr>
                <w:rFonts w:hint="eastAsia" w:ascii="宋体" w:hAnsi="宋体" w:eastAsia="宋体" w:cs="宋体"/>
                <w:b/>
                <w:i w:val="0"/>
                <w:color w:val="000000"/>
                <w:sz w:val="22"/>
                <w:szCs w:val="22"/>
                <w:u w:val="none"/>
              </w:rPr>
            </w:pP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478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师德标兵评选</w:t>
            </w:r>
          </w:p>
        </w:tc>
        <w:tc>
          <w:tcPr>
            <w:tcW w:w="19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6月</w:t>
            </w:r>
          </w:p>
        </w:tc>
        <w:tc>
          <w:tcPr>
            <w:tcW w:w="960" w:type="dxa"/>
            <w:tcBorders>
              <w:tl2br w:val="nil"/>
              <w:tr2bl w:val="nil"/>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601" w:hRule="atLeast"/>
        </w:trPr>
        <w:tc>
          <w:tcPr>
            <w:tcW w:w="975" w:type="dxa"/>
            <w:vMerge w:val="continue"/>
            <w:tcBorders>
              <w:tl2br w:val="nil"/>
              <w:tr2bl w:val="nil"/>
            </w:tcBorders>
            <w:shd w:val="clear" w:color="auto" w:fill="auto"/>
            <w:vAlign w:val="center"/>
          </w:tcPr>
          <w:p>
            <w:pPr>
              <w:jc w:val="center"/>
              <w:rPr>
                <w:rFonts w:hint="eastAsia" w:ascii="宋体" w:hAnsi="宋体" w:eastAsia="宋体" w:cs="宋体"/>
                <w:b/>
                <w:i w:val="0"/>
                <w:color w:val="000000"/>
                <w:sz w:val="22"/>
                <w:szCs w:val="22"/>
                <w:u w:val="none"/>
              </w:rPr>
            </w:pP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478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后勤职工厨艺比赛</w:t>
            </w:r>
          </w:p>
        </w:tc>
        <w:tc>
          <w:tcPr>
            <w:tcW w:w="19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6月</w:t>
            </w:r>
          </w:p>
        </w:tc>
        <w:tc>
          <w:tcPr>
            <w:tcW w:w="960" w:type="dxa"/>
            <w:tcBorders>
              <w:tl2br w:val="nil"/>
              <w:tr2bl w:val="nil"/>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601" w:hRule="atLeast"/>
        </w:trPr>
        <w:tc>
          <w:tcPr>
            <w:tcW w:w="975" w:type="dxa"/>
            <w:vMerge w:val="continue"/>
            <w:tcBorders>
              <w:tl2br w:val="nil"/>
              <w:tr2bl w:val="nil"/>
            </w:tcBorders>
            <w:shd w:val="clear" w:color="auto" w:fill="auto"/>
            <w:vAlign w:val="center"/>
          </w:tcPr>
          <w:p>
            <w:pPr>
              <w:jc w:val="center"/>
              <w:rPr>
                <w:rFonts w:hint="eastAsia" w:ascii="宋体" w:hAnsi="宋体" w:eastAsia="宋体" w:cs="宋体"/>
                <w:b/>
                <w:i w:val="0"/>
                <w:color w:val="000000"/>
                <w:sz w:val="22"/>
                <w:szCs w:val="22"/>
                <w:u w:val="none"/>
              </w:rPr>
            </w:pP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478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开展青年教职工社会实践</w:t>
            </w:r>
          </w:p>
        </w:tc>
        <w:tc>
          <w:tcPr>
            <w:tcW w:w="19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7月</w:t>
            </w:r>
          </w:p>
        </w:tc>
        <w:tc>
          <w:tcPr>
            <w:tcW w:w="960" w:type="dxa"/>
            <w:tcBorders>
              <w:tl2br w:val="nil"/>
              <w:tr2bl w:val="nil"/>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601" w:hRule="atLeast"/>
        </w:trPr>
        <w:tc>
          <w:tcPr>
            <w:tcW w:w="975" w:type="dxa"/>
            <w:vMerge w:val="continue"/>
            <w:tcBorders>
              <w:tl2br w:val="nil"/>
              <w:tr2bl w:val="nil"/>
            </w:tcBorders>
            <w:shd w:val="clear" w:color="auto" w:fill="auto"/>
            <w:vAlign w:val="center"/>
          </w:tcPr>
          <w:p>
            <w:pPr>
              <w:jc w:val="center"/>
              <w:rPr>
                <w:rFonts w:hint="eastAsia" w:ascii="宋体" w:hAnsi="宋体" w:eastAsia="宋体" w:cs="宋体"/>
                <w:b/>
                <w:i w:val="0"/>
                <w:color w:val="000000"/>
                <w:sz w:val="22"/>
                <w:szCs w:val="22"/>
                <w:u w:val="none"/>
              </w:rPr>
            </w:pP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478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“爱岗敬业最美石大人”教职工摄影作品展</w:t>
            </w:r>
          </w:p>
        </w:tc>
        <w:tc>
          <w:tcPr>
            <w:tcW w:w="19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8月</w:t>
            </w:r>
          </w:p>
        </w:tc>
        <w:tc>
          <w:tcPr>
            <w:tcW w:w="960" w:type="dxa"/>
            <w:tcBorders>
              <w:tl2br w:val="nil"/>
              <w:tr2bl w:val="nil"/>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601" w:hRule="atLeast"/>
        </w:trPr>
        <w:tc>
          <w:tcPr>
            <w:tcW w:w="975" w:type="dxa"/>
            <w:vMerge w:val="continue"/>
            <w:tcBorders>
              <w:tl2br w:val="nil"/>
              <w:tr2bl w:val="nil"/>
            </w:tcBorders>
            <w:shd w:val="clear" w:color="auto" w:fill="auto"/>
            <w:vAlign w:val="center"/>
          </w:tcPr>
          <w:p>
            <w:pPr>
              <w:jc w:val="center"/>
              <w:rPr>
                <w:rFonts w:hint="eastAsia" w:ascii="宋体" w:hAnsi="宋体" w:eastAsia="宋体" w:cs="宋体"/>
                <w:b/>
                <w:i w:val="0"/>
                <w:color w:val="000000"/>
                <w:sz w:val="22"/>
                <w:szCs w:val="22"/>
                <w:u w:val="none"/>
              </w:rPr>
            </w:pP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478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高雅艺术进校园活动之二</w:t>
            </w:r>
          </w:p>
        </w:tc>
        <w:tc>
          <w:tcPr>
            <w:tcW w:w="19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9月</w:t>
            </w:r>
          </w:p>
        </w:tc>
        <w:tc>
          <w:tcPr>
            <w:tcW w:w="960" w:type="dxa"/>
            <w:tcBorders>
              <w:tl2br w:val="nil"/>
              <w:tr2bl w:val="nil"/>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601" w:hRule="atLeast"/>
        </w:trPr>
        <w:tc>
          <w:tcPr>
            <w:tcW w:w="975" w:type="dxa"/>
            <w:vMerge w:val="continue"/>
            <w:tcBorders>
              <w:tl2br w:val="nil"/>
              <w:tr2bl w:val="nil"/>
            </w:tcBorders>
            <w:shd w:val="clear" w:color="auto" w:fill="auto"/>
            <w:vAlign w:val="center"/>
          </w:tcPr>
          <w:p>
            <w:pPr>
              <w:jc w:val="center"/>
              <w:rPr>
                <w:rFonts w:hint="eastAsia" w:ascii="宋体" w:hAnsi="宋体" w:eastAsia="宋体" w:cs="宋体"/>
                <w:b/>
                <w:i w:val="0"/>
                <w:color w:val="000000"/>
                <w:sz w:val="22"/>
                <w:szCs w:val="22"/>
                <w:u w:val="none"/>
              </w:rPr>
            </w:pP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478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附校共建项目中期检查</w:t>
            </w:r>
          </w:p>
        </w:tc>
        <w:tc>
          <w:tcPr>
            <w:tcW w:w="19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10月份</w:t>
            </w:r>
          </w:p>
        </w:tc>
        <w:tc>
          <w:tcPr>
            <w:tcW w:w="960" w:type="dxa"/>
            <w:tcBorders>
              <w:tl2br w:val="nil"/>
              <w:tr2bl w:val="nil"/>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601" w:hRule="atLeast"/>
        </w:trPr>
        <w:tc>
          <w:tcPr>
            <w:tcW w:w="975" w:type="dxa"/>
            <w:vMerge w:val="continue"/>
            <w:tcBorders>
              <w:tl2br w:val="nil"/>
              <w:tr2bl w:val="nil"/>
            </w:tcBorders>
            <w:shd w:val="clear" w:color="auto" w:fill="auto"/>
            <w:vAlign w:val="center"/>
          </w:tcPr>
          <w:p>
            <w:pPr>
              <w:jc w:val="center"/>
              <w:rPr>
                <w:rFonts w:hint="eastAsia" w:ascii="宋体" w:hAnsi="宋体" w:eastAsia="宋体" w:cs="宋体"/>
                <w:b/>
                <w:i w:val="0"/>
                <w:color w:val="000000"/>
                <w:sz w:val="22"/>
                <w:szCs w:val="22"/>
                <w:u w:val="none"/>
              </w:rPr>
            </w:pP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478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举办秋季教职工趣味运动会</w:t>
            </w:r>
          </w:p>
        </w:tc>
        <w:tc>
          <w:tcPr>
            <w:tcW w:w="19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10月中旬</w:t>
            </w:r>
          </w:p>
        </w:tc>
        <w:tc>
          <w:tcPr>
            <w:tcW w:w="960" w:type="dxa"/>
            <w:tcBorders>
              <w:tl2br w:val="nil"/>
              <w:tr2bl w:val="nil"/>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601" w:hRule="atLeast"/>
        </w:trPr>
        <w:tc>
          <w:tcPr>
            <w:tcW w:w="975" w:type="dxa"/>
            <w:vMerge w:val="continue"/>
            <w:tcBorders>
              <w:tl2br w:val="nil"/>
              <w:tr2bl w:val="nil"/>
            </w:tcBorders>
            <w:shd w:val="clear" w:color="auto" w:fill="auto"/>
            <w:vAlign w:val="center"/>
          </w:tcPr>
          <w:p>
            <w:pPr>
              <w:jc w:val="center"/>
              <w:rPr>
                <w:rFonts w:hint="eastAsia" w:ascii="宋体" w:hAnsi="宋体" w:eastAsia="宋体" w:cs="宋体"/>
                <w:b/>
                <w:i w:val="0"/>
                <w:color w:val="000000"/>
                <w:sz w:val="22"/>
                <w:szCs w:val="22"/>
                <w:u w:val="none"/>
              </w:rPr>
            </w:pP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478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先进职工小家验收</w:t>
            </w:r>
          </w:p>
        </w:tc>
        <w:tc>
          <w:tcPr>
            <w:tcW w:w="19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11月</w:t>
            </w:r>
          </w:p>
        </w:tc>
        <w:tc>
          <w:tcPr>
            <w:tcW w:w="960" w:type="dxa"/>
            <w:tcBorders>
              <w:tl2br w:val="nil"/>
              <w:tr2bl w:val="nil"/>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601" w:hRule="atLeast"/>
        </w:trPr>
        <w:tc>
          <w:tcPr>
            <w:tcW w:w="975" w:type="dxa"/>
            <w:vMerge w:val="continue"/>
            <w:tcBorders>
              <w:tl2br w:val="nil"/>
              <w:tr2bl w:val="nil"/>
            </w:tcBorders>
            <w:shd w:val="clear" w:color="auto" w:fill="auto"/>
            <w:vAlign w:val="center"/>
          </w:tcPr>
          <w:p>
            <w:pPr>
              <w:jc w:val="center"/>
              <w:rPr>
                <w:rFonts w:hint="eastAsia" w:ascii="宋体" w:hAnsi="宋体" w:eastAsia="宋体" w:cs="宋体"/>
                <w:b/>
                <w:i w:val="0"/>
                <w:color w:val="000000"/>
                <w:sz w:val="22"/>
                <w:szCs w:val="22"/>
                <w:u w:val="none"/>
              </w:rPr>
            </w:pP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478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举办青年教师教学基本功比赛</w:t>
            </w:r>
          </w:p>
        </w:tc>
        <w:tc>
          <w:tcPr>
            <w:tcW w:w="19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11月</w:t>
            </w:r>
          </w:p>
        </w:tc>
        <w:tc>
          <w:tcPr>
            <w:tcW w:w="960" w:type="dxa"/>
            <w:tcBorders>
              <w:tl2br w:val="nil"/>
              <w:tr2bl w:val="nil"/>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601" w:hRule="atLeast"/>
        </w:trPr>
        <w:tc>
          <w:tcPr>
            <w:tcW w:w="975" w:type="dxa"/>
            <w:vMerge w:val="continue"/>
            <w:tcBorders>
              <w:tl2br w:val="nil"/>
              <w:tr2bl w:val="nil"/>
            </w:tcBorders>
            <w:shd w:val="clear" w:color="auto" w:fill="auto"/>
            <w:vAlign w:val="center"/>
          </w:tcPr>
          <w:p>
            <w:pPr>
              <w:jc w:val="center"/>
              <w:rPr>
                <w:rFonts w:hint="eastAsia" w:ascii="宋体" w:hAnsi="宋体" w:eastAsia="宋体" w:cs="宋体"/>
                <w:b/>
                <w:i w:val="0"/>
                <w:color w:val="000000"/>
                <w:sz w:val="22"/>
                <w:szCs w:val="22"/>
                <w:u w:val="none"/>
              </w:rPr>
            </w:pP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478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举办校园121健步走活动</w:t>
            </w:r>
          </w:p>
        </w:tc>
        <w:tc>
          <w:tcPr>
            <w:tcW w:w="19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12月1日</w:t>
            </w:r>
          </w:p>
        </w:tc>
        <w:tc>
          <w:tcPr>
            <w:tcW w:w="960" w:type="dxa"/>
            <w:tcBorders>
              <w:tl2br w:val="nil"/>
              <w:tr2bl w:val="nil"/>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601" w:hRule="atLeast"/>
        </w:trPr>
        <w:tc>
          <w:tcPr>
            <w:tcW w:w="975" w:type="dxa"/>
            <w:vMerge w:val="continue"/>
            <w:tcBorders>
              <w:tl2br w:val="nil"/>
              <w:tr2bl w:val="nil"/>
            </w:tcBorders>
            <w:shd w:val="clear" w:color="auto" w:fill="auto"/>
            <w:vAlign w:val="center"/>
          </w:tcPr>
          <w:p>
            <w:pPr>
              <w:jc w:val="center"/>
              <w:rPr>
                <w:rFonts w:hint="eastAsia" w:ascii="宋体" w:hAnsi="宋体" w:eastAsia="宋体" w:cs="宋体"/>
                <w:b/>
                <w:i w:val="0"/>
                <w:color w:val="000000"/>
                <w:sz w:val="22"/>
                <w:szCs w:val="22"/>
                <w:u w:val="none"/>
              </w:rPr>
            </w:pPr>
          </w:p>
        </w:tc>
        <w:tc>
          <w:tcPr>
            <w:tcW w:w="108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478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开展总结考核评比</w:t>
            </w:r>
          </w:p>
        </w:tc>
        <w:tc>
          <w:tcPr>
            <w:tcW w:w="1934"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12月底</w:t>
            </w:r>
          </w:p>
        </w:tc>
        <w:tc>
          <w:tcPr>
            <w:tcW w:w="960" w:type="dxa"/>
            <w:tcBorders>
              <w:tl2br w:val="nil"/>
              <w:tr2bl w:val="nil"/>
            </w:tcBorders>
            <w:shd w:val="clear" w:color="auto" w:fill="auto"/>
            <w:vAlign w:val="center"/>
          </w:tcPr>
          <w:p>
            <w:pPr>
              <w:jc w:val="center"/>
              <w:rPr>
                <w:rFonts w:hint="eastAsia" w:ascii="宋体" w:hAnsi="宋体" w:eastAsia="宋体" w:cs="宋体"/>
                <w:i w:val="0"/>
                <w:color w:val="000000"/>
                <w:sz w:val="22"/>
                <w:szCs w:val="22"/>
                <w:u w:val="none"/>
              </w:rPr>
            </w:pPr>
          </w:p>
        </w:tc>
      </w:tr>
    </w:tbl>
    <w:p>
      <w:pPr>
        <w:rPr>
          <w:rFonts w:hint="eastAsia" w:ascii="宋体" w:hAnsi="宋体"/>
          <w:color w:val="333333"/>
          <w:kern w:val="0"/>
          <w:sz w:val="28"/>
          <w:szCs w:val="28"/>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